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0B0D5" w14:textId="665EB177" w:rsidR="00AD4128" w:rsidRPr="00AD4128" w:rsidRDefault="00E122E7" w:rsidP="00AD4128">
      <w:pPr>
        <w:pStyle w:val="Heading2"/>
        <w:spacing w:before="0" w:after="240"/>
        <w:jc w:val="center"/>
        <w:rPr>
          <w:sz w:val="40"/>
        </w:rPr>
      </w:pPr>
      <w:r w:rsidRPr="00E122E7">
        <w:rPr>
          <w:i/>
          <w:sz w:val="40"/>
        </w:rPr>
        <w:t>Nation Branding</w:t>
      </w:r>
      <w:r>
        <w:rPr>
          <w:sz w:val="40"/>
        </w:rPr>
        <w:t xml:space="preserve"> statt Geschichtswissenschaft</w:t>
      </w:r>
    </w:p>
    <w:p w14:paraId="5C8FE277" w14:textId="766D4F1F" w:rsidR="001922E5" w:rsidRDefault="00707E4A" w:rsidP="00AD4128">
      <w:pPr>
        <w:pStyle w:val="Heading2"/>
        <w:spacing w:before="0" w:after="240"/>
        <w:jc w:val="center"/>
        <w:rPr>
          <w:sz w:val="28"/>
        </w:rPr>
      </w:pPr>
      <w:r>
        <w:rPr>
          <w:sz w:val="28"/>
        </w:rPr>
        <w:t xml:space="preserve">Welche </w:t>
      </w:r>
      <w:r w:rsidR="00AD4128" w:rsidRPr="00AD4128">
        <w:rPr>
          <w:sz w:val="28"/>
        </w:rPr>
        <w:t xml:space="preserve">Zukunft </w:t>
      </w:r>
      <w:r>
        <w:rPr>
          <w:sz w:val="28"/>
        </w:rPr>
        <w:t>für das Historische Institut</w:t>
      </w:r>
      <w:r w:rsidR="00AD4128" w:rsidRPr="00AD4128">
        <w:rPr>
          <w:sz w:val="28"/>
        </w:rPr>
        <w:t xml:space="preserve"> an der Uni Luxemburg</w:t>
      </w:r>
      <w:r>
        <w:rPr>
          <w:sz w:val="28"/>
        </w:rPr>
        <w:t>?</w:t>
      </w:r>
    </w:p>
    <w:p w14:paraId="4DC8C554" w14:textId="41D81D60" w:rsidR="0095047F" w:rsidRDefault="0095047F" w:rsidP="0095047F">
      <w:pPr>
        <w:spacing w:line="276" w:lineRule="auto"/>
        <w:jc w:val="both"/>
        <w:rPr>
          <w:lang w:val="de-CH"/>
        </w:rPr>
      </w:pPr>
      <w:r>
        <w:rPr>
          <w:lang w:val="de-CH"/>
        </w:rPr>
        <w:t xml:space="preserve">Sehr gut in der Forschung und engagiert in der Lehre, effizient in der Erwerbung von externen Forschungsgeldern und national wie international gut vernetzt: Der im Auftrag der Regierung angefertigte und </w:t>
      </w:r>
      <w:r w:rsidRPr="00BF62DB">
        <w:rPr>
          <w:lang w:val="de-CH"/>
        </w:rPr>
        <w:t xml:space="preserve">am </w:t>
      </w:r>
      <w:r>
        <w:rPr>
          <w:lang w:val="de-CH"/>
        </w:rPr>
        <w:t xml:space="preserve">17.2.2017 veröffentlichte Evaluationsbericht der Schweizer Firma </w:t>
      </w:r>
      <w:r w:rsidRPr="007C000D">
        <w:rPr>
          <w:i/>
          <w:lang w:val="de-CH"/>
        </w:rPr>
        <w:t>Interface</w:t>
      </w:r>
      <w:r>
        <w:rPr>
          <w:lang w:val="de-CH"/>
        </w:rPr>
        <w:t xml:space="preserve"> hätte für das Historische Institut an der Universität Luxemburg</w:t>
      </w:r>
      <w:r w:rsidRPr="00BF62DB">
        <w:rPr>
          <w:lang w:val="de-CH"/>
        </w:rPr>
        <w:t xml:space="preserve"> </w:t>
      </w:r>
      <w:r>
        <w:rPr>
          <w:lang w:val="de-CH"/>
        </w:rPr>
        <w:t>kaum positiver ausfallen können.</w:t>
      </w:r>
      <w:r w:rsidRPr="00AB0A21">
        <w:rPr>
          <w:szCs w:val="20"/>
          <w:lang w:val="de-CH"/>
        </w:rPr>
        <w:t xml:space="preserve"> </w:t>
      </w:r>
      <w:r>
        <w:rPr>
          <w:lang w:val="de-CH"/>
        </w:rPr>
        <w:t>In</w:t>
      </w:r>
      <w:bookmarkStart w:id="0" w:name="_GoBack"/>
      <w:bookmarkEnd w:id="0"/>
      <w:r>
        <w:rPr>
          <w:lang w:val="de-CH"/>
        </w:rPr>
        <w:t xml:space="preserve"> der Tat war das Historische Institut mit seinen Forschungsprojekten und Kooperationen überaus erfolgreich: Seit 2008 konnten über 17</w:t>
      </w:r>
      <w:r w:rsidRPr="003D317C">
        <w:rPr>
          <w:lang w:val="de-CH"/>
        </w:rPr>
        <w:t xml:space="preserve"> Millionen </w:t>
      </w:r>
      <w:r>
        <w:rPr>
          <w:lang w:val="de-CH"/>
        </w:rPr>
        <w:t xml:space="preserve">Euro eingeworben werden, hauptsächlich um Zeitverträge von zusätzlichen Forschern/-innen zu finanzieren. Aus dem Institut sind in 7 Jahren 23 promovierte Historiker/-innen hervorgegangen, </w:t>
      </w:r>
      <w:r w:rsidR="00707E4A">
        <w:rPr>
          <w:lang w:val="de-CH"/>
        </w:rPr>
        <w:t>19</w:t>
      </w:r>
      <w:r>
        <w:rPr>
          <w:lang w:val="de-CH"/>
        </w:rPr>
        <w:t xml:space="preserve"> weitere schreiben zurzeit an ihren Dissertationen.</w:t>
      </w:r>
    </w:p>
    <w:p w14:paraId="33DBB027" w14:textId="5F188223" w:rsidR="008F7EDD" w:rsidRDefault="00AB0A21" w:rsidP="00AD4128">
      <w:pPr>
        <w:spacing w:line="276" w:lineRule="auto"/>
        <w:jc w:val="both"/>
        <w:rPr>
          <w:lang w:val="de-CH"/>
        </w:rPr>
      </w:pPr>
      <w:r>
        <w:rPr>
          <w:lang w:val="de-CH"/>
        </w:rPr>
        <w:t xml:space="preserve">Trotz dieser Sachlage </w:t>
      </w:r>
      <w:r w:rsidR="00065114" w:rsidRPr="00065114">
        <w:rPr>
          <w:lang w:val="en-US"/>
        </w:rPr>
        <w:t xml:space="preserve">steht zu befürchten, dass freiwerdende Lehrstühle im Institut nicht erneuert werden, da einerseits Gelder fast ausschließlich in das 2016 auf Regierungsanordnung geschaffene </w:t>
      </w:r>
      <w:r w:rsidR="00065114" w:rsidRPr="00065114">
        <w:rPr>
          <w:i/>
          <w:iCs/>
          <w:lang w:val="en-US"/>
        </w:rPr>
        <w:t>Center for Contemporary and Digital History</w:t>
      </w:r>
      <w:r w:rsidR="00065114" w:rsidRPr="00065114">
        <w:rPr>
          <w:lang w:val="en-US"/>
        </w:rPr>
        <w:t xml:space="preserve"> (C</w:t>
      </w:r>
      <w:r w:rsidR="00065114" w:rsidRPr="00065114">
        <w:rPr>
          <w:vertAlign w:val="superscript"/>
          <w:lang w:val="en-US"/>
        </w:rPr>
        <w:t>2</w:t>
      </w:r>
      <w:r w:rsidR="00065114" w:rsidRPr="00065114">
        <w:rPr>
          <w:lang w:val="en-US"/>
        </w:rPr>
        <w:t>DH) fließen</w:t>
      </w:r>
      <w:r w:rsidR="004C7AE2">
        <w:rPr>
          <w:lang w:val="en-US"/>
        </w:rPr>
        <w:t xml:space="preserve"> sollen</w:t>
      </w:r>
      <w:r w:rsidR="00065114" w:rsidRPr="00065114">
        <w:rPr>
          <w:lang w:val="en-US"/>
        </w:rPr>
        <w:t xml:space="preserve"> und andererseits vom Conseil de Gouvernance beschlossen wurde, Staatsbeamtenstellen nicht mehr zu besetzen.</w:t>
      </w:r>
      <w:r w:rsidR="00065114" w:rsidRPr="00065114">
        <w:rPr>
          <w:lang w:val="de-CH"/>
        </w:rPr>
        <w:t xml:space="preserve"> </w:t>
      </w:r>
      <w:r w:rsidR="00BF62DB">
        <w:rPr>
          <w:lang w:val="de-CH"/>
        </w:rPr>
        <w:t xml:space="preserve">Das bedeutet, dass der </w:t>
      </w:r>
      <w:r>
        <w:rPr>
          <w:lang w:val="de-CH"/>
        </w:rPr>
        <w:t>seit der Schaffung des C</w:t>
      </w:r>
      <w:r w:rsidRPr="00BF62DB">
        <w:rPr>
          <w:vertAlign w:val="superscript"/>
          <w:lang w:val="de-CH"/>
        </w:rPr>
        <w:t>2</w:t>
      </w:r>
      <w:r>
        <w:rPr>
          <w:lang w:val="de-CH"/>
        </w:rPr>
        <w:t xml:space="preserve">DH vakante </w:t>
      </w:r>
      <w:r w:rsidR="00BF62DB">
        <w:rPr>
          <w:lang w:val="de-CH"/>
        </w:rPr>
        <w:t>Lehrstuhl für Frühe Neuzeit</w:t>
      </w:r>
      <w:r w:rsidR="00EB4A7D">
        <w:rPr>
          <w:lang w:val="de-CH"/>
        </w:rPr>
        <w:t xml:space="preserve"> und Digital History</w:t>
      </w:r>
      <w:r w:rsidR="008349AE">
        <w:rPr>
          <w:lang w:val="de-CH"/>
        </w:rPr>
        <w:t xml:space="preserve"> (16.-19. Jh.)</w:t>
      </w:r>
      <w:r w:rsidR="00BF62DB">
        <w:rPr>
          <w:lang w:val="de-CH"/>
        </w:rPr>
        <w:t xml:space="preserve"> und der Lehrstuhl für transnationale Luxemburger Geschichte, der im Herbst </w:t>
      </w:r>
      <w:r w:rsidR="009E0872">
        <w:rPr>
          <w:lang w:val="de-CH"/>
        </w:rPr>
        <w:t xml:space="preserve">2017 </w:t>
      </w:r>
      <w:r w:rsidR="00BF62DB">
        <w:rPr>
          <w:lang w:val="de-CH"/>
        </w:rPr>
        <w:t xml:space="preserve">zur Verfügung stehen wird, weil sein derzeitiger Inhaber in den Ruhestand gehen muss, nicht mehr besetzt werden. </w:t>
      </w:r>
      <w:r w:rsidR="003E6875">
        <w:rPr>
          <w:lang w:val="de-CH"/>
        </w:rPr>
        <w:t>Diese Maßnahme bringt nicht nur beide Institutionen</w:t>
      </w:r>
      <w:r w:rsidR="00224DC5">
        <w:rPr>
          <w:lang w:val="de-CH"/>
        </w:rPr>
        <w:t>, die ihre Aufgaben und Forschungsanstrengungen als komplementär verstehen,</w:t>
      </w:r>
      <w:r w:rsidR="003E6875">
        <w:rPr>
          <w:lang w:val="de-CH"/>
        </w:rPr>
        <w:t xml:space="preserve"> bei der Postenverteilung in eine ungewollte Konkurrenzsituation</w:t>
      </w:r>
      <w:r w:rsidR="006F25A4">
        <w:rPr>
          <w:lang w:val="de-CH"/>
        </w:rPr>
        <w:t>.</w:t>
      </w:r>
      <w:r w:rsidR="003E6875">
        <w:rPr>
          <w:lang w:val="de-CH"/>
        </w:rPr>
        <w:t xml:space="preserve"> </w:t>
      </w:r>
      <w:r w:rsidR="006F25A4">
        <w:rPr>
          <w:lang w:val="de-CH"/>
        </w:rPr>
        <w:t xml:space="preserve">Sie </w:t>
      </w:r>
      <w:r w:rsidR="003E6875">
        <w:rPr>
          <w:lang w:val="de-CH"/>
        </w:rPr>
        <w:t xml:space="preserve">hat </w:t>
      </w:r>
      <w:r w:rsidR="00224DC5">
        <w:rPr>
          <w:lang w:val="de-CH"/>
        </w:rPr>
        <w:t xml:space="preserve">vor allem </w:t>
      </w:r>
      <w:r w:rsidR="006F25A4">
        <w:rPr>
          <w:lang w:val="de-CH"/>
        </w:rPr>
        <w:t>schwerwiegende</w:t>
      </w:r>
      <w:r w:rsidR="006C6A60">
        <w:rPr>
          <w:lang w:val="de-CH"/>
        </w:rPr>
        <w:t xml:space="preserve"> Folgen für Lehre und Forschung in der allgemeinen Geschichte und in Luxemburger Geschichte </w:t>
      </w:r>
      <w:r w:rsidR="00DC3C02">
        <w:rPr>
          <w:lang w:val="de-CH"/>
        </w:rPr>
        <w:t>im Besonderen</w:t>
      </w:r>
      <w:r w:rsidR="006C6A60">
        <w:rPr>
          <w:lang w:val="de-CH"/>
        </w:rPr>
        <w:t>.</w:t>
      </w:r>
    </w:p>
    <w:p w14:paraId="18EE4484" w14:textId="5CE41C50" w:rsidR="000653F5" w:rsidRDefault="0095047F" w:rsidP="00AD4128">
      <w:pPr>
        <w:spacing w:line="276" w:lineRule="auto"/>
        <w:jc w:val="both"/>
        <w:rPr>
          <w:lang w:val="de-CH"/>
        </w:rPr>
      </w:pPr>
      <w:r>
        <w:rPr>
          <w:lang w:val="de-CH"/>
        </w:rPr>
        <w:t xml:space="preserve">Dem </w:t>
      </w:r>
      <w:r w:rsidR="008F7EDD">
        <w:rPr>
          <w:lang w:val="de-CH"/>
        </w:rPr>
        <w:t>C</w:t>
      </w:r>
      <w:r w:rsidR="008F7EDD" w:rsidRPr="00BF62DB">
        <w:rPr>
          <w:vertAlign w:val="superscript"/>
          <w:lang w:val="de-CH"/>
        </w:rPr>
        <w:t>2</w:t>
      </w:r>
      <w:r w:rsidR="008F7EDD">
        <w:rPr>
          <w:lang w:val="de-CH"/>
        </w:rPr>
        <w:t xml:space="preserve">DH </w:t>
      </w:r>
      <w:r>
        <w:rPr>
          <w:lang w:val="de-CH"/>
        </w:rPr>
        <w:t xml:space="preserve">stehen </w:t>
      </w:r>
      <w:r w:rsidR="008F7EDD">
        <w:rPr>
          <w:lang w:val="de-CH"/>
        </w:rPr>
        <w:t xml:space="preserve">heute schon vier Professuren </w:t>
      </w:r>
      <w:r w:rsidR="00AB0A21">
        <w:rPr>
          <w:lang w:val="de-CH"/>
        </w:rPr>
        <w:t xml:space="preserve">für die </w:t>
      </w:r>
      <w:r w:rsidR="00BC2EAA">
        <w:rPr>
          <w:lang w:val="de-CH"/>
        </w:rPr>
        <w:t xml:space="preserve">Geschichte der </w:t>
      </w:r>
      <w:r w:rsidR="00AB0A21">
        <w:rPr>
          <w:lang w:val="de-CH"/>
        </w:rPr>
        <w:t>letzten 100 Jahre</w:t>
      </w:r>
      <w:r w:rsidR="008F7EDD">
        <w:rPr>
          <w:lang w:val="de-CH"/>
        </w:rPr>
        <w:t xml:space="preserve"> zur Verfügung und die Stellen für vier weitere </w:t>
      </w:r>
      <w:r w:rsidR="00C907BB" w:rsidRPr="00C907BB">
        <w:rPr>
          <w:i/>
        </w:rPr>
        <w:t>senior research scientists</w:t>
      </w:r>
      <w:r w:rsidR="008F7EDD">
        <w:rPr>
          <w:lang w:val="de-CH"/>
        </w:rPr>
        <w:t>, die Professoren</w:t>
      </w:r>
      <w:r w:rsidR="00707E4A">
        <w:rPr>
          <w:lang w:val="de-CH"/>
        </w:rPr>
        <w:t>/-innen</w:t>
      </w:r>
      <w:r w:rsidR="008F7EDD">
        <w:rPr>
          <w:lang w:val="de-CH"/>
        </w:rPr>
        <w:t xml:space="preserve"> gleichgestellt sein werden, </w:t>
      </w:r>
      <w:r w:rsidR="00707E4A">
        <w:rPr>
          <w:lang w:val="de-CH"/>
        </w:rPr>
        <w:t xml:space="preserve">sind </w:t>
      </w:r>
      <w:r w:rsidR="008F7EDD">
        <w:rPr>
          <w:lang w:val="de-CH"/>
        </w:rPr>
        <w:t>ausgeschrieben</w:t>
      </w:r>
      <w:r>
        <w:rPr>
          <w:lang w:val="de-CH"/>
        </w:rPr>
        <w:t>.</w:t>
      </w:r>
      <w:r w:rsidR="00E52451">
        <w:rPr>
          <w:lang w:val="de-CH"/>
        </w:rPr>
        <w:t xml:space="preserve"> </w:t>
      </w:r>
      <w:r>
        <w:rPr>
          <w:lang w:val="de-CH"/>
        </w:rPr>
        <w:t xml:space="preserve">Alle </w:t>
      </w:r>
      <w:r w:rsidR="008F7EDD">
        <w:rPr>
          <w:lang w:val="de-CH"/>
        </w:rPr>
        <w:t xml:space="preserve">anderen Epochen der Geschichte von der </w:t>
      </w:r>
      <w:r w:rsidR="00AB0A21">
        <w:rPr>
          <w:lang w:val="de-CH"/>
        </w:rPr>
        <w:t>A</w:t>
      </w:r>
      <w:r w:rsidR="008F7EDD">
        <w:rPr>
          <w:lang w:val="de-CH"/>
        </w:rPr>
        <w:t xml:space="preserve">ntike </w:t>
      </w:r>
      <w:r w:rsidR="00AB0A21">
        <w:rPr>
          <w:lang w:val="de-CH"/>
        </w:rPr>
        <w:t>übers</w:t>
      </w:r>
      <w:r w:rsidR="008F7EDD">
        <w:rPr>
          <w:lang w:val="de-CH"/>
        </w:rPr>
        <w:t xml:space="preserve"> Mittelalter bis </w:t>
      </w:r>
      <w:r w:rsidR="00C907BB">
        <w:rPr>
          <w:lang w:val="de-CH"/>
        </w:rPr>
        <w:t>zum Beginn des 20</w:t>
      </w:r>
      <w:r w:rsidR="008F7EDD">
        <w:rPr>
          <w:lang w:val="de-CH"/>
        </w:rPr>
        <w:t xml:space="preserve">. </w:t>
      </w:r>
      <w:r w:rsidR="008F7EDD" w:rsidRPr="008F7EDD">
        <w:rPr>
          <w:lang w:val="de-CH"/>
        </w:rPr>
        <w:t>Jahrhundert</w:t>
      </w:r>
      <w:r w:rsidR="00C907BB">
        <w:rPr>
          <w:lang w:val="de-CH"/>
        </w:rPr>
        <w:t>s</w:t>
      </w:r>
      <w:r w:rsidR="008F7EDD">
        <w:rPr>
          <w:lang w:val="de-CH"/>
        </w:rPr>
        <w:t xml:space="preserve"> </w:t>
      </w:r>
      <w:r>
        <w:rPr>
          <w:lang w:val="de-CH"/>
        </w:rPr>
        <w:t xml:space="preserve">müssen in Zukunft </w:t>
      </w:r>
      <w:r w:rsidR="008F7EDD">
        <w:rPr>
          <w:lang w:val="de-CH"/>
        </w:rPr>
        <w:t xml:space="preserve">von </w:t>
      </w:r>
      <w:r w:rsidR="00AB0A21">
        <w:rPr>
          <w:lang w:val="de-CH"/>
        </w:rPr>
        <w:t xml:space="preserve">lediglich </w:t>
      </w:r>
      <w:r w:rsidR="008F7EDD">
        <w:rPr>
          <w:lang w:val="de-CH"/>
        </w:rPr>
        <w:t>drei Professoren</w:t>
      </w:r>
      <w:r w:rsidR="00707E4A">
        <w:rPr>
          <w:lang w:val="de-CH"/>
        </w:rPr>
        <w:t>/-innen</w:t>
      </w:r>
      <w:r w:rsidR="008F7EDD">
        <w:rPr>
          <w:lang w:val="de-CH"/>
        </w:rPr>
        <w:t xml:space="preserve"> abgedeckt werden: ein Ding der Unmöglichkeit. </w:t>
      </w:r>
      <w:r w:rsidR="00AB0A21">
        <w:rPr>
          <w:lang w:val="de-CH"/>
        </w:rPr>
        <w:t xml:space="preserve">Zudem sieht sich </w:t>
      </w:r>
      <w:r w:rsidR="008F7EDD">
        <w:rPr>
          <w:lang w:val="de-CH"/>
        </w:rPr>
        <w:t xml:space="preserve">das Institut </w:t>
      </w:r>
      <w:r w:rsidR="00C907BB">
        <w:rPr>
          <w:lang w:val="de-CH"/>
        </w:rPr>
        <w:t xml:space="preserve">stetig </w:t>
      </w:r>
      <w:r w:rsidR="008F7EDD">
        <w:rPr>
          <w:lang w:val="de-CH"/>
        </w:rPr>
        <w:t xml:space="preserve">steigenden </w:t>
      </w:r>
      <w:r w:rsidR="002A2590">
        <w:rPr>
          <w:lang w:val="de-CH"/>
        </w:rPr>
        <w:t xml:space="preserve">Zahlen von </w:t>
      </w:r>
      <w:r w:rsidR="008F7EDD">
        <w:rPr>
          <w:lang w:val="de-CH"/>
        </w:rPr>
        <w:t xml:space="preserve">Studierenden gegenüber: </w:t>
      </w:r>
      <w:r w:rsidR="006C6A60">
        <w:rPr>
          <w:lang w:val="de-CH"/>
        </w:rPr>
        <w:t xml:space="preserve">Im </w:t>
      </w:r>
      <w:r w:rsidR="008F7EDD">
        <w:rPr>
          <w:lang w:val="de-CH"/>
        </w:rPr>
        <w:t>Herbst 2016 haben 90 junge Menschen ein Geschichtsstudium begonnen</w:t>
      </w:r>
      <w:r w:rsidR="0013419F">
        <w:rPr>
          <w:lang w:val="de-CH"/>
        </w:rPr>
        <w:t>.</w:t>
      </w:r>
      <w:r w:rsidR="008F7EDD">
        <w:rPr>
          <w:lang w:val="de-CH"/>
        </w:rPr>
        <w:t xml:space="preserve"> </w:t>
      </w:r>
      <w:r w:rsidR="00B43303">
        <w:t xml:space="preserve">Wenn die beiden Lehrstühle am Institut nicht wiederbesetzt werden, stellt sich die Frage, ob </w:t>
      </w:r>
      <w:r w:rsidR="00DC3C02">
        <w:t xml:space="preserve">der Studiengang Geschichte noch den internationalen </w:t>
      </w:r>
      <w:r w:rsidR="00B43303">
        <w:t>Standard</w:t>
      </w:r>
      <w:r w:rsidR="00DC3C02">
        <w:t>s entspricht.</w:t>
      </w:r>
      <w:r w:rsidR="00B43303">
        <w:t xml:space="preserve"> Hat die Luxemburger Gesellschaft </w:t>
      </w:r>
      <w:r w:rsidR="00A75E21">
        <w:t xml:space="preserve">nicht </w:t>
      </w:r>
      <w:r w:rsidR="00B43303">
        <w:t xml:space="preserve">ein </w:t>
      </w:r>
      <w:r w:rsidR="00A75E21">
        <w:t xml:space="preserve">Anrecht </w:t>
      </w:r>
      <w:r w:rsidR="00D43FAB">
        <w:t>darauf</w:t>
      </w:r>
      <w:r w:rsidR="00B43303">
        <w:t xml:space="preserve">, dass ihre </w:t>
      </w:r>
      <w:r w:rsidR="00D43FAB">
        <w:t xml:space="preserve">Studierenden </w:t>
      </w:r>
      <w:r w:rsidR="00B43303">
        <w:t xml:space="preserve">ein vollständiges, vielfältiges und international anerkanntes Geschichtsstudium an ihrer eigenen Universität absolvieren können? </w:t>
      </w:r>
      <w:r w:rsidR="0068074B">
        <w:t>E</w:t>
      </w:r>
      <w:r w:rsidR="00DC3C02">
        <w:t xml:space="preserve">in </w:t>
      </w:r>
      <w:r w:rsidR="00B43303">
        <w:t xml:space="preserve">Studium, das alle Epochen abdeckt? </w:t>
      </w:r>
      <w:r w:rsidR="00A75E21">
        <w:t xml:space="preserve">Wenn dies bejaht wird, </w:t>
      </w:r>
      <w:r w:rsidR="00B43303">
        <w:t xml:space="preserve">muss dafür gesorgt sein, dass jede Epoche </w:t>
      </w:r>
      <w:r w:rsidR="004A1FFF">
        <w:t xml:space="preserve">auch weiterhin </w:t>
      </w:r>
      <w:r w:rsidR="00B43303">
        <w:t>mit einer Professur vertreten ist</w:t>
      </w:r>
      <w:r w:rsidR="00D8704C">
        <w:t xml:space="preserve">, und zwar in Lehre und Forschung, wie es </w:t>
      </w:r>
      <w:r w:rsidR="00A75E21">
        <w:t xml:space="preserve">bei </w:t>
      </w:r>
      <w:r w:rsidR="00D8704C">
        <w:t>eine</w:t>
      </w:r>
      <w:r w:rsidR="00A75E21">
        <w:t>r</w:t>
      </w:r>
      <w:r w:rsidR="00D8704C">
        <w:t xml:space="preserve"> „Forschungsuniversität“ </w:t>
      </w:r>
      <w:r w:rsidR="00A75E21">
        <w:t>gefordert werden muss</w:t>
      </w:r>
      <w:r w:rsidR="00B43303">
        <w:t>.</w:t>
      </w:r>
    </w:p>
    <w:p w14:paraId="7057B0E5" w14:textId="21F82B59" w:rsidR="00BF62DB" w:rsidRPr="00FF017A" w:rsidRDefault="00087018" w:rsidP="00AD4128">
      <w:pPr>
        <w:spacing w:line="276" w:lineRule="auto"/>
        <w:jc w:val="both"/>
        <w:rPr>
          <w:strike/>
          <w:lang w:val="de-CH"/>
        </w:rPr>
      </w:pPr>
      <w:r>
        <w:rPr>
          <w:lang w:val="de-CH"/>
        </w:rPr>
        <w:t xml:space="preserve">Wenn die Lehrstühle für Frühe Neuzeit und für Transnationale Luxemburger Geschichte </w:t>
      </w:r>
      <w:r w:rsidR="00224DC5" w:rsidRPr="009D0FAF">
        <w:rPr>
          <w:lang w:val="de-CH"/>
        </w:rPr>
        <w:t xml:space="preserve">im </w:t>
      </w:r>
      <w:r w:rsidRPr="009D0FAF">
        <w:rPr>
          <w:lang w:val="de-CH"/>
        </w:rPr>
        <w:t xml:space="preserve">Herbst 2017 </w:t>
      </w:r>
      <w:r w:rsidR="00224DC5">
        <w:rPr>
          <w:lang w:val="de-CH"/>
        </w:rPr>
        <w:t xml:space="preserve">tatsächlich </w:t>
      </w:r>
      <w:r w:rsidR="0095047F" w:rsidRPr="009D0FAF">
        <w:rPr>
          <w:lang w:val="de-CH"/>
        </w:rPr>
        <w:t>verschwinden</w:t>
      </w:r>
      <w:r w:rsidR="00224DC5">
        <w:rPr>
          <w:lang w:val="de-CH"/>
        </w:rPr>
        <w:t xml:space="preserve"> sollten</w:t>
      </w:r>
      <w:r>
        <w:rPr>
          <w:lang w:val="de-CH"/>
        </w:rPr>
        <w:t xml:space="preserve">, </w:t>
      </w:r>
      <w:r w:rsidR="00BF62DB">
        <w:rPr>
          <w:lang w:val="de-CH"/>
        </w:rPr>
        <w:t xml:space="preserve">wird es </w:t>
      </w:r>
      <w:r>
        <w:rPr>
          <w:lang w:val="de-CH"/>
        </w:rPr>
        <w:t xml:space="preserve">an der Universität </w:t>
      </w:r>
      <w:r w:rsidR="008349AE">
        <w:rPr>
          <w:lang w:val="de-CH"/>
        </w:rPr>
        <w:t>künftig</w:t>
      </w:r>
      <w:r w:rsidR="00BF62DB">
        <w:rPr>
          <w:lang w:val="de-CH"/>
        </w:rPr>
        <w:t xml:space="preserve"> weder Lehre noch Forschung </w:t>
      </w:r>
      <w:r w:rsidR="00A75E21">
        <w:rPr>
          <w:lang w:val="de-CH"/>
        </w:rPr>
        <w:t xml:space="preserve">über viele entscheidende Ereignisse und Entwicklungen </w:t>
      </w:r>
      <w:r w:rsidR="0095047F">
        <w:rPr>
          <w:lang w:val="de-CH"/>
        </w:rPr>
        <w:t xml:space="preserve">der Luxemburger Geschichte </w:t>
      </w:r>
      <w:r w:rsidR="00BF62DB">
        <w:rPr>
          <w:lang w:val="de-CH"/>
        </w:rPr>
        <w:t>geben</w:t>
      </w:r>
      <w:r w:rsidR="00A75E21">
        <w:rPr>
          <w:lang w:val="de-CH"/>
        </w:rPr>
        <w:t>:</w:t>
      </w:r>
      <w:r w:rsidR="00BF62DB">
        <w:rPr>
          <w:lang w:val="de-CH"/>
        </w:rPr>
        <w:t xml:space="preserve"> über </w:t>
      </w:r>
      <w:r w:rsidR="000653F5">
        <w:rPr>
          <w:lang w:val="de-CH"/>
        </w:rPr>
        <w:t xml:space="preserve">den 30jährigen Krieg, der Luxemburg 25mal mehr Tote gekostet hat als der Zweite Weltkrieg, über die Bedeutung von </w:t>
      </w:r>
      <w:r w:rsidR="007C7B4A">
        <w:rPr>
          <w:lang w:val="de-CH"/>
        </w:rPr>
        <w:t xml:space="preserve">Karl V., Graf </w:t>
      </w:r>
      <w:r w:rsidR="007C7B4A">
        <w:rPr>
          <w:lang w:val="de-CH"/>
        </w:rPr>
        <w:lastRenderedPageBreak/>
        <w:t xml:space="preserve">Mansfeld und </w:t>
      </w:r>
      <w:r w:rsidR="000653F5">
        <w:rPr>
          <w:lang w:val="de-CH"/>
        </w:rPr>
        <w:t xml:space="preserve">Kaiserin Maria Theresia für das Herzogtum, </w:t>
      </w:r>
      <w:r w:rsidR="00BF62DB">
        <w:rPr>
          <w:lang w:val="de-CH"/>
        </w:rPr>
        <w:t xml:space="preserve">über die Proto- und Frühindustrialisierung, über die Anfänge der Stahlindustrie, über Migrationen vor dem 20. </w:t>
      </w:r>
      <w:r w:rsidR="00BF62DB" w:rsidRPr="00BF62DB">
        <w:rPr>
          <w:lang w:val="de-CH"/>
        </w:rPr>
        <w:t>Jahrhundert</w:t>
      </w:r>
      <w:r w:rsidR="00BF62DB">
        <w:rPr>
          <w:lang w:val="de-CH"/>
        </w:rPr>
        <w:t>, über die Entwicklung des Städtenetzes vom Mittelalter bis heute, über Langzeitentwicklung</w:t>
      </w:r>
      <w:r w:rsidR="002A2590">
        <w:rPr>
          <w:lang w:val="de-CH"/>
        </w:rPr>
        <w:t>en</w:t>
      </w:r>
      <w:r w:rsidR="00BF62DB">
        <w:rPr>
          <w:lang w:val="de-CH"/>
        </w:rPr>
        <w:t xml:space="preserve"> i</w:t>
      </w:r>
      <w:r w:rsidR="0095047F">
        <w:rPr>
          <w:lang w:val="de-CH"/>
        </w:rPr>
        <w:t>m Raum</w:t>
      </w:r>
      <w:r w:rsidR="00BF62DB">
        <w:rPr>
          <w:lang w:val="de-CH"/>
        </w:rPr>
        <w:t xml:space="preserve"> </w:t>
      </w:r>
      <w:r w:rsidR="0095047F">
        <w:rPr>
          <w:lang w:val="de-CH"/>
        </w:rPr>
        <w:t>Luxemburg</w:t>
      </w:r>
      <w:r w:rsidR="00BF62DB">
        <w:rPr>
          <w:lang w:val="de-CH"/>
        </w:rPr>
        <w:t xml:space="preserve"> usw.</w:t>
      </w:r>
      <w:r w:rsidR="000653F5">
        <w:rPr>
          <w:lang w:val="de-CH"/>
        </w:rPr>
        <w:t xml:space="preserve"> </w:t>
      </w:r>
      <w:r w:rsidR="00816488">
        <w:rPr>
          <w:lang w:val="de-CH"/>
        </w:rPr>
        <w:t xml:space="preserve">Gerade die Frühe Neuzeit ist ein Stiefkind der historischen Forschung über Luxemburg. </w:t>
      </w:r>
      <w:r w:rsidR="000653F5">
        <w:rPr>
          <w:lang w:val="de-CH"/>
        </w:rPr>
        <w:t xml:space="preserve">Die Vorgeschichte der Luxemburger Nationswerdung </w:t>
      </w:r>
      <w:r w:rsidR="007C7B4A">
        <w:rPr>
          <w:lang w:val="de-CH"/>
        </w:rPr>
        <w:t xml:space="preserve">bliebe </w:t>
      </w:r>
      <w:r w:rsidR="00B43303">
        <w:rPr>
          <w:lang w:val="de-CH"/>
        </w:rPr>
        <w:t>somit weitgehend im Dunkeln.</w:t>
      </w:r>
    </w:p>
    <w:p w14:paraId="6F2A381A" w14:textId="7D0FBAC7" w:rsidR="008F7EDD" w:rsidRDefault="00A75E21" w:rsidP="00AD4128">
      <w:pPr>
        <w:spacing w:line="276" w:lineRule="auto"/>
        <w:jc w:val="both"/>
        <w:rPr>
          <w:lang w:val="de-CH"/>
        </w:rPr>
      </w:pPr>
      <w:r>
        <w:rPr>
          <w:lang w:val="de-CH"/>
        </w:rPr>
        <w:t xml:space="preserve">Auf der akademischen Landkarte Europas </w:t>
      </w:r>
      <w:r w:rsidR="004A1FFF">
        <w:rPr>
          <w:lang w:val="de-CH"/>
        </w:rPr>
        <w:t xml:space="preserve">war </w:t>
      </w:r>
      <w:r w:rsidR="000653F5">
        <w:rPr>
          <w:lang w:val="de-CH"/>
        </w:rPr>
        <w:t xml:space="preserve">Luxemburg jahrzehntelang </w:t>
      </w:r>
      <w:r>
        <w:rPr>
          <w:lang w:val="de-CH"/>
        </w:rPr>
        <w:t xml:space="preserve">ein </w:t>
      </w:r>
      <w:r w:rsidR="004A1FFF">
        <w:rPr>
          <w:lang w:val="de-CH"/>
        </w:rPr>
        <w:t xml:space="preserve">weißer </w:t>
      </w:r>
      <w:r>
        <w:rPr>
          <w:lang w:val="de-CH"/>
        </w:rPr>
        <w:t xml:space="preserve">Fleck. Zu dessen Beseitigung hat das Geschichtsinstitut </w:t>
      </w:r>
      <w:r w:rsidR="0095047F">
        <w:rPr>
          <w:lang w:val="de-CH"/>
        </w:rPr>
        <w:t>seit Bestehen der Universität</w:t>
      </w:r>
      <w:r w:rsidR="000653F5">
        <w:rPr>
          <w:lang w:val="de-CH"/>
        </w:rPr>
        <w:t xml:space="preserve"> </w:t>
      </w:r>
      <w:r>
        <w:rPr>
          <w:lang w:val="de-CH"/>
        </w:rPr>
        <w:t xml:space="preserve">einen nicht unerheblichen Beitrag geleistet. Die Einladung </w:t>
      </w:r>
      <w:r w:rsidR="0095047F">
        <w:rPr>
          <w:lang w:val="de-CH"/>
        </w:rPr>
        <w:t>der</w:t>
      </w:r>
      <w:r>
        <w:rPr>
          <w:lang w:val="de-CH"/>
        </w:rPr>
        <w:t xml:space="preserve"> Beneluxländer zum Deutschen Historikertag 2018 in Münster kommt insofern nicht von ungefähr. Werden die genannten Pläne aber in die Tat umgesetzt, werden</w:t>
      </w:r>
      <w:r w:rsidR="000653F5">
        <w:rPr>
          <w:lang w:val="de-CH"/>
        </w:rPr>
        <w:t xml:space="preserve"> </w:t>
      </w:r>
      <w:r>
        <w:rPr>
          <w:lang w:val="de-CH"/>
        </w:rPr>
        <w:t xml:space="preserve">in Zukunft solche Beiträge aus Luxemburg zur internationalen Forschung nur noch von </w:t>
      </w:r>
      <w:r w:rsidR="00BC2EAA">
        <w:rPr>
          <w:lang w:val="de-CH"/>
        </w:rPr>
        <w:t>Zeithistorikern</w:t>
      </w:r>
      <w:r w:rsidR="00707E4A">
        <w:rPr>
          <w:lang w:val="de-CH"/>
        </w:rPr>
        <w:t>/-innen</w:t>
      </w:r>
      <w:r w:rsidR="000653F5">
        <w:rPr>
          <w:lang w:val="de-CH"/>
        </w:rPr>
        <w:t xml:space="preserve"> </w:t>
      </w:r>
      <w:r w:rsidR="00305B20">
        <w:rPr>
          <w:lang w:val="de-CH"/>
        </w:rPr>
        <w:t xml:space="preserve">erbracht </w:t>
      </w:r>
      <w:r w:rsidR="000653F5">
        <w:rPr>
          <w:lang w:val="de-CH"/>
        </w:rPr>
        <w:t xml:space="preserve">werden können. Dabei </w:t>
      </w:r>
      <w:r w:rsidR="00B840B1">
        <w:rPr>
          <w:lang w:val="de-CH"/>
        </w:rPr>
        <w:t xml:space="preserve">haben Forschungen zur Geschichte des Altertums und des Mittelalters </w:t>
      </w:r>
      <w:r w:rsidR="000653F5">
        <w:rPr>
          <w:lang w:val="de-CH"/>
        </w:rPr>
        <w:t xml:space="preserve">der Uni Luxemburg schon vor ihrer Gründung zu internationaler Anerkennung verholfen: </w:t>
      </w:r>
      <w:r>
        <w:rPr>
          <w:lang w:val="de-CH"/>
        </w:rPr>
        <w:t xml:space="preserve">Die </w:t>
      </w:r>
      <w:r w:rsidR="000653F5">
        <w:rPr>
          <w:lang w:val="de-CH"/>
        </w:rPr>
        <w:t xml:space="preserve">Tagungsbände </w:t>
      </w:r>
      <w:r w:rsidR="00B840B1">
        <w:rPr>
          <w:lang w:val="de-CH"/>
        </w:rPr>
        <w:t xml:space="preserve">der </w:t>
      </w:r>
      <w:r w:rsidR="00BC2EAA">
        <w:rPr>
          <w:lang w:val="de-CH"/>
        </w:rPr>
        <w:t xml:space="preserve">seit 1980 alle zwei Jahre stattfindenden </w:t>
      </w:r>
      <w:r w:rsidR="00B840B1">
        <w:rPr>
          <w:lang w:val="de-CH"/>
        </w:rPr>
        <w:t xml:space="preserve">«Journées Lotharingiennes» </w:t>
      </w:r>
      <w:r>
        <w:rPr>
          <w:lang w:val="de-CH"/>
        </w:rPr>
        <w:t xml:space="preserve">werden </w:t>
      </w:r>
      <w:r w:rsidR="000653F5">
        <w:rPr>
          <w:lang w:val="de-CH"/>
        </w:rPr>
        <w:t>bis nach</w:t>
      </w:r>
      <w:r>
        <w:rPr>
          <w:lang w:val="de-CH"/>
        </w:rPr>
        <w:t xml:space="preserve"> Japan und in die USA verkauft.</w:t>
      </w:r>
    </w:p>
    <w:p w14:paraId="41B7217A" w14:textId="1B2A07C1" w:rsidR="007B6856" w:rsidRDefault="00A75E21" w:rsidP="00AD4128">
      <w:pPr>
        <w:spacing w:line="276" w:lineRule="auto"/>
        <w:jc w:val="both"/>
        <w:rPr>
          <w:lang w:val="de-CH"/>
        </w:rPr>
      </w:pPr>
      <w:r>
        <w:rPr>
          <w:lang w:val="de-CH"/>
        </w:rPr>
        <w:t xml:space="preserve">Auch </w:t>
      </w:r>
      <w:r w:rsidR="007B6856">
        <w:rPr>
          <w:lang w:val="de-CH"/>
        </w:rPr>
        <w:t xml:space="preserve">im Bereich der </w:t>
      </w:r>
      <w:r w:rsidR="007B6856" w:rsidRPr="007B6856">
        <w:rPr>
          <w:i/>
          <w:lang w:val="de-CH"/>
        </w:rPr>
        <w:t>digital humanities</w:t>
      </w:r>
      <w:r w:rsidR="007B6856">
        <w:rPr>
          <w:lang w:val="de-CH"/>
        </w:rPr>
        <w:t xml:space="preserve"> </w:t>
      </w:r>
      <w:r w:rsidR="00BC2EAA">
        <w:rPr>
          <w:lang w:val="de-CH"/>
        </w:rPr>
        <w:t xml:space="preserve">hat </w:t>
      </w:r>
      <w:r>
        <w:rPr>
          <w:lang w:val="de-CH"/>
        </w:rPr>
        <w:t xml:space="preserve">das Historische Institut seit seiner Gründung im Jahr 2003 </w:t>
      </w:r>
      <w:r w:rsidR="007B6856">
        <w:rPr>
          <w:lang w:val="de-CH"/>
        </w:rPr>
        <w:t xml:space="preserve">beachtliche Leistungen erbracht: </w:t>
      </w:r>
      <w:r w:rsidR="0095047F">
        <w:rPr>
          <w:lang w:val="de-CH"/>
        </w:rPr>
        <w:t>Der interaktive und interdisziplinäre</w:t>
      </w:r>
      <w:r w:rsidR="00FC11C9">
        <w:rPr>
          <w:lang w:val="de-CH"/>
        </w:rPr>
        <w:t xml:space="preserve"> Atlas der Großregion</w:t>
      </w:r>
      <w:r w:rsidR="007B6856">
        <w:rPr>
          <w:lang w:val="de-CH"/>
        </w:rPr>
        <w:t xml:space="preserve"> ist seit 2007 </w:t>
      </w:r>
      <w:r w:rsidR="0095047F">
        <w:rPr>
          <w:lang w:val="de-CH"/>
        </w:rPr>
        <w:t>unter gr-atlas.uni.lu</w:t>
      </w:r>
      <w:r w:rsidR="0095047F" w:rsidRPr="0095047F">
        <w:rPr>
          <w:lang w:val="de-CH"/>
        </w:rPr>
        <w:t xml:space="preserve"> </w:t>
      </w:r>
      <w:r w:rsidR="0095047F">
        <w:rPr>
          <w:lang w:val="de-CH"/>
        </w:rPr>
        <w:t>online</w:t>
      </w:r>
      <w:r w:rsidR="007B6856">
        <w:rPr>
          <w:lang w:val="de-CH"/>
        </w:rPr>
        <w:t xml:space="preserve">. Dank der finanziellen Unterstützung der Stadt Luxemburg wird zurzeit an einem digitalen historischen Atlas der Hauptstadt gearbeitet, der deren Entwicklung </w:t>
      </w:r>
      <w:r w:rsidR="00087018">
        <w:rPr>
          <w:lang w:val="de-CH"/>
        </w:rPr>
        <w:t xml:space="preserve">im 19. </w:t>
      </w:r>
      <w:r w:rsidR="006C6A60">
        <w:rPr>
          <w:lang w:val="de-CH"/>
        </w:rPr>
        <w:t xml:space="preserve">und </w:t>
      </w:r>
      <w:r w:rsidR="00087018">
        <w:rPr>
          <w:lang w:val="de-CH"/>
        </w:rPr>
        <w:t xml:space="preserve">20. </w:t>
      </w:r>
      <w:r w:rsidR="00087018" w:rsidRPr="00087018">
        <w:rPr>
          <w:lang w:val="de-CH"/>
        </w:rPr>
        <w:t>Jahrhundert</w:t>
      </w:r>
      <w:r w:rsidR="007B6856">
        <w:rPr>
          <w:lang w:val="de-CH"/>
        </w:rPr>
        <w:t xml:space="preserve"> </w:t>
      </w:r>
      <w:r w:rsidR="00087018">
        <w:rPr>
          <w:lang w:val="de-CH"/>
        </w:rPr>
        <w:t xml:space="preserve">darstellen </w:t>
      </w:r>
      <w:r w:rsidR="007B6856">
        <w:rPr>
          <w:lang w:val="de-CH"/>
        </w:rPr>
        <w:t>und viele thematische Zugänge ermöglichen wird. In Ausarbeitung sind Apps mit historischen Rundgängen durch die Stadt Luxemburg oder die gallo-römische Stadt Dalheim</w:t>
      </w:r>
      <w:r w:rsidR="00FC11C9">
        <w:rPr>
          <w:lang w:val="de-CH"/>
        </w:rPr>
        <w:t xml:space="preserve"> sowie ein </w:t>
      </w:r>
      <w:r w:rsidR="009676EF">
        <w:rPr>
          <w:lang w:val="de-CH"/>
        </w:rPr>
        <w:t xml:space="preserve">Lernspiel </w:t>
      </w:r>
      <w:r w:rsidR="00FC11C9">
        <w:rPr>
          <w:lang w:val="de-CH"/>
        </w:rPr>
        <w:t xml:space="preserve">zum Leben in der Stadt Luxemburg im 17. </w:t>
      </w:r>
      <w:r w:rsidR="00FC11C9" w:rsidRPr="00FC11C9">
        <w:rPr>
          <w:lang w:val="de-CH"/>
        </w:rPr>
        <w:t>Jahrhundert</w:t>
      </w:r>
      <w:r w:rsidR="007B6856">
        <w:rPr>
          <w:lang w:val="de-CH"/>
        </w:rPr>
        <w:t xml:space="preserve">. </w:t>
      </w:r>
      <w:r w:rsidR="001922E5">
        <w:rPr>
          <w:lang w:val="de-CH"/>
        </w:rPr>
        <w:t xml:space="preserve">Die Online-Edition mittelalterlicher Quellen </w:t>
      </w:r>
      <w:r w:rsidR="007C7B4A">
        <w:rPr>
          <w:lang w:val="de-CH"/>
        </w:rPr>
        <w:t>als Fortsetzung des von der Luxe</w:t>
      </w:r>
      <w:r w:rsidR="00CF0EEE">
        <w:rPr>
          <w:lang w:val="de-CH"/>
        </w:rPr>
        <w:t xml:space="preserve">mburger Regierung finanzierten </w:t>
      </w:r>
      <w:r w:rsidR="007C7B4A">
        <w:rPr>
          <w:lang w:val="de-CH"/>
        </w:rPr>
        <w:t xml:space="preserve">Urkundenbuchs Camille Wampachs </w:t>
      </w:r>
      <w:r w:rsidR="001922E5">
        <w:rPr>
          <w:lang w:val="de-CH"/>
        </w:rPr>
        <w:t xml:space="preserve">wird in </w:t>
      </w:r>
      <w:r w:rsidR="007C7B4A">
        <w:rPr>
          <w:lang w:val="de-CH"/>
        </w:rPr>
        <w:t xml:space="preserve">einem gemeinsamen </w:t>
      </w:r>
      <w:r w:rsidR="001922E5">
        <w:rPr>
          <w:lang w:val="de-CH"/>
        </w:rPr>
        <w:t xml:space="preserve">Projekt des FNR und der französischen ANR </w:t>
      </w:r>
      <w:r w:rsidR="007C7B4A">
        <w:rPr>
          <w:lang w:val="de-CH"/>
        </w:rPr>
        <w:t>vollzogen.</w:t>
      </w:r>
      <w:r w:rsidR="000A793F">
        <w:rPr>
          <w:lang w:val="de-CH"/>
        </w:rPr>
        <w:t xml:space="preserve"> </w:t>
      </w:r>
      <w:r w:rsidR="009676EF">
        <w:rPr>
          <w:lang w:val="de-CH"/>
        </w:rPr>
        <w:t>Sollten</w:t>
      </w:r>
      <w:r w:rsidR="000A793F">
        <w:rPr>
          <w:lang w:val="de-CH"/>
        </w:rPr>
        <w:t xml:space="preserve"> alle freigewordenen und freiwerdenden Posten des Historischen Instituts in Zukunft </w:t>
      </w:r>
      <w:r w:rsidR="009676EF">
        <w:rPr>
          <w:lang w:val="de-CH"/>
        </w:rPr>
        <w:t xml:space="preserve">ins </w:t>
      </w:r>
      <w:r w:rsidR="00BC2EAA">
        <w:rPr>
          <w:lang w:val="de-CH"/>
        </w:rPr>
        <w:t>C</w:t>
      </w:r>
      <w:r w:rsidR="00BC2EAA" w:rsidRPr="00BF62DB">
        <w:rPr>
          <w:vertAlign w:val="superscript"/>
          <w:lang w:val="de-CH"/>
        </w:rPr>
        <w:t>2</w:t>
      </w:r>
      <w:r w:rsidR="00BC2EAA">
        <w:rPr>
          <w:lang w:val="de-CH"/>
        </w:rPr>
        <w:t xml:space="preserve">DH </w:t>
      </w:r>
      <w:r w:rsidR="009676EF">
        <w:rPr>
          <w:lang w:val="de-CH"/>
        </w:rPr>
        <w:t>überführt</w:t>
      </w:r>
      <w:r w:rsidR="000A793F">
        <w:rPr>
          <w:lang w:val="de-CH"/>
        </w:rPr>
        <w:t xml:space="preserve"> </w:t>
      </w:r>
      <w:r w:rsidR="009676EF">
        <w:rPr>
          <w:lang w:val="de-CH"/>
        </w:rPr>
        <w:t xml:space="preserve">werden, </w:t>
      </w:r>
      <w:r w:rsidR="000A793F">
        <w:rPr>
          <w:lang w:val="de-CH"/>
        </w:rPr>
        <w:t xml:space="preserve">wird es diese und ähnliche </w:t>
      </w:r>
      <w:r w:rsidR="009676EF">
        <w:rPr>
          <w:lang w:val="de-CH"/>
        </w:rPr>
        <w:t xml:space="preserve">geplante </w:t>
      </w:r>
      <w:r w:rsidR="000A793F">
        <w:rPr>
          <w:lang w:val="de-CH"/>
        </w:rPr>
        <w:t xml:space="preserve">Forschungsprogramme, wie </w:t>
      </w:r>
      <w:r w:rsidR="009676EF">
        <w:rPr>
          <w:lang w:val="de-CH"/>
        </w:rPr>
        <w:t xml:space="preserve">eines </w:t>
      </w:r>
      <w:r w:rsidR="000A793F">
        <w:rPr>
          <w:lang w:val="de-CH"/>
        </w:rPr>
        <w:t>zum Europa unter der Luxemburger Kaiserdynastie</w:t>
      </w:r>
      <w:r w:rsidR="00BC2EAA">
        <w:rPr>
          <w:lang w:val="de-CH"/>
        </w:rPr>
        <w:t>,</w:t>
      </w:r>
      <w:r w:rsidR="000A793F">
        <w:rPr>
          <w:lang w:val="de-CH"/>
        </w:rPr>
        <w:t xml:space="preserve"> nicht mehr geben.</w:t>
      </w:r>
    </w:p>
    <w:p w14:paraId="28DE4B4C" w14:textId="2A413268" w:rsidR="00087018" w:rsidRPr="0095047F" w:rsidRDefault="00073D0C" w:rsidP="00AD4128">
      <w:pPr>
        <w:spacing w:line="276" w:lineRule="auto"/>
        <w:jc w:val="both"/>
      </w:pPr>
      <w:r>
        <w:rPr>
          <w:lang w:val="de-CH"/>
        </w:rPr>
        <w:t xml:space="preserve">Mangelnde </w:t>
      </w:r>
      <w:r w:rsidR="00087018">
        <w:rPr>
          <w:lang w:val="de-CH"/>
        </w:rPr>
        <w:t xml:space="preserve">Visibilität </w:t>
      </w:r>
      <w:r w:rsidR="009676EF">
        <w:rPr>
          <w:lang w:val="de-CH"/>
        </w:rPr>
        <w:t xml:space="preserve">und fehlendes Engagement für die </w:t>
      </w:r>
      <w:r w:rsidR="00087018">
        <w:rPr>
          <w:lang w:val="de-CH"/>
        </w:rPr>
        <w:t xml:space="preserve">Luxemburger </w:t>
      </w:r>
      <w:r w:rsidR="009676EF">
        <w:rPr>
          <w:lang w:val="de-CH"/>
        </w:rPr>
        <w:t xml:space="preserve">Gesellschaft </w:t>
      </w:r>
      <w:r w:rsidR="00087018">
        <w:rPr>
          <w:lang w:val="de-CH"/>
        </w:rPr>
        <w:t xml:space="preserve">kann </w:t>
      </w:r>
      <w:r>
        <w:rPr>
          <w:lang w:val="de-CH"/>
        </w:rPr>
        <w:t>d</w:t>
      </w:r>
      <w:r w:rsidR="009676EF">
        <w:rPr>
          <w:lang w:val="de-CH"/>
        </w:rPr>
        <w:t>em Institut auch nicht vorgeworfen werden</w:t>
      </w:r>
      <w:r w:rsidR="0095047F">
        <w:rPr>
          <w:lang w:val="de-CH"/>
        </w:rPr>
        <w:t xml:space="preserve">. </w:t>
      </w:r>
      <w:r w:rsidR="00087018">
        <w:rPr>
          <w:lang w:val="de-CH"/>
        </w:rPr>
        <w:t xml:space="preserve">Die Debatten um die Dissertation von Vincent Artuso zur Kollaboration während des Zweiten Weltkriegs dürften noch in aller Erinnerung sein. </w:t>
      </w:r>
      <w:r w:rsidR="009676EF">
        <w:rPr>
          <w:lang w:val="de-CH"/>
        </w:rPr>
        <w:t xml:space="preserve">Die </w:t>
      </w:r>
      <w:r w:rsidR="00087018">
        <w:rPr>
          <w:lang w:val="de-CH"/>
        </w:rPr>
        <w:t xml:space="preserve">Bücher über Erinnerungsorte aus der Luxemburger Geschichte waren regelrechte Bestseller. </w:t>
      </w:r>
      <w:r w:rsidR="00EE37F3">
        <w:rPr>
          <w:lang w:val="de-CH"/>
        </w:rPr>
        <w:t xml:space="preserve">Die </w:t>
      </w:r>
      <w:r w:rsidR="00087018">
        <w:rPr>
          <w:lang w:val="de-CH"/>
        </w:rPr>
        <w:t>öffentlichen Abendvorträge zur Geschichte (</w:t>
      </w:r>
      <w:r w:rsidR="00087018" w:rsidRPr="007C000D">
        <w:rPr>
          <w:i/>
          <w:lang w:val="de-CH"/>
        </w:rPr>
        <w:t>Uni iwwer Land</w:t>
      </w:r>
      <w:r w:rsidR="0095047F">
        <w:rPr>
          <w:i/>
          <w:lang w:val="de-CH"/>
        </w:rPr>
        <w:t>; Let’s talk about History</w:t>
      </w:r>
      <w:r w:rsidR="00087018">
        <w:rPr>
          <w:lang w:val="de-CH"/>
        </w:rPr>
        <w:t xml:space="preserve">) </w:t>
      </w:r>
      <w:r w:rsidR="00EE37F3">
        <w:rPr>
          <w:lang w:val="de-CH"/>
        </w:rPr>
        <w:t xml:space="preserve">erfreuen </w:t>
      </w:r>
      <w:r w:rsidR="00087018">
        <w:rPr>
          <w:lang w:val="de-CH"/>
        </w:rPr>
        <w:t xml:space="preserve">sich </w:t>
      </w:r>
      <w:r w:rsidR="00EE37F3">
        <w:rPr>
          <w:lang w:val="de-CH"/>
        </w:rPr>
        <w:t xml:space="preserve">stets </w:t>
      </w:r>
      <w:r w:rsidR="00087018">
        <w:rPr>
          <w:lang w:val="de-CH"/>
        </w:rPr>
        <w:t>eine</w:t>
      </w:r>
      <w:r w:rsidR="00EE37F3">
        <w:rPr>
          <w:lang w:val="de-CH"/>
        </w:rPr>
        <w:t>s</w:t>
      </w:r>
      <w:r w:rsidR="00087018">
        <w:rPr>
          <w:lang w:val="de-CH"/>
        </w:rPr>
        <w:t xml:space="preserve"> großen </w:t>
      </w:r>
      <w:r w:rsidR="00EE37F3">
        <w:rPr>
          <w:lang w:val="de-CH"/>
        </w:rPr>
        <w:t>Zulaufs.</w:t>
      </w:r>
      <w:r w:rsidR="000A793F">
        <w:rPr>
          <w:lang w:val="de-CH"/>
        </w:rPr>
        <w:t xml:space="preserve"> Das Historische Institut hat sich an der Organisation </w:t>
      </w:r>
      <w:r w:rsidR="004A6709">
        <w:rPr>
          <w:lang w:val="de-CH"/>
        </w:rPr>
        <w:t>unzähliger</w:t>
      </w:r>
      <w:r w:rsidR="000A793F">
        <w:rPr>
          <w:lang w:val="de-CH"/>
        </w:rPr>
        <w:t xml:space="preserve"> Ausstellungen in Luxemburger und ausländischen Museen</w:t>
      </w:r>
      <w:r w:rsidR="00EE37F3">
        <w:rPr>
          <w:lang w:val="de-CH"/>
        </w:rPr>
        <w:t xml:space="preserve"> </w:t>
      </w:r>
      <w:r w:rsidR="000A793F">
        <w:rPr>
          <w:lang w:val="de-CH"/>
        </w:rPr>
        <w:t xml:space="preserve">(Kaiser Heinrich II., Johann der Blinde, die Luxemburger in Prag, </w:t>
      </w:r>
      <w:r w:rsidR="00BC2EAA">
        <w:rPr>
          <w:lang w:val="de-CH"/>
        </w:rPr>
        <w:t xml:space="preserve">Kaiser Sigismund, </w:t>
      </w:r>
      <w:r w:rsidR="000A793F">
        <w:rPr>
          <w:lang w:val="de-CH"/>
        </w:rPr>
        <w:t>Luxemburger Identitäten, G</w:t>
      </w:r>
      <w:r w:rsidR="0095047F">
        <w:rPr>
          <w:lang w:val="de-CH"/>
        </w:rPr>
        <w:t>eschichte der Stadt Luxemburg</w:t>
      </w:r>
      <w:r w:rsidR="000A793F">
        <w:rPr>
          <w:lang w:val="de-CH"/>
        </w:rPr>
        <w:t>) beteiligt</w:t>
      </w:r>
      <w:r w:rsidR="009676EF">
        <w:rPr>
          <w:lang w:val="de-CH"/>
        </w:rPr>
        <w:t>.</w:t>
      </w:r>
      <w:r w:rsidR="000A793F">
        <w:rPr>
          <w:lang w:val="de-CH"/>
        </w:rPr>
        <w:t xml:space="preserve"> </w:t>
      </w:r>
      <w:r w:rsidR="009676EF">
        <w:rPr>
          <w:lang w:val="de-CH"/>
        </w:rPr>
        <w:t xml:space="preserve">Der derzeitige Inhaber des Lehrstuhls für transnationale Luxemburger Geschichte war 2014 von der Regierung eingeladen worden, den Festvortrag beim Staatsempfang zum 175. </w:t>
      </w:r>
      <w:r w:rsidR="009676EF" w:rsidRPr="000653F5">
        <w:rPr>
          <w:lang w:val="de-CH"/>
        </w:rPr>
        <w:t>Jubiläum der Unabhängigkei</w:t>
      </w:r>
      <w:r w:rsidR="009676EF">
        <w:rPr>
          <w:lang w:val="de-CH"/>
        </w:rPr>
        <w:t>t des Großherzogtums zu halten.</w:t>
      </w:r>
      <w:r w:rsidR="0095047F">
        <w:rPr>
          <w:lang w:val="de-CH"/>
        </w:rPr>
        <w:t xml:space="preserve"> Und die Arbeit des Instituts ist für alle in den sozialen Netzwerken einsehbar.</w:t>
      </w:r>
    </w:p>
    <w:p w14:paraId="41460598" w14:textId="6B36B8B5" w:rsidR="00DE2E54" w:rsidRDefault="009676EF" w:rsidP="00AD4128">
      <w:pPr>
        <w:spacing w:line="276" w:lineRule="auto"/>
        <w:jc w:val="both"/>
        <w:rPr>
          <w:lang w:val="de-CH"/>
        </w:rPr>
      </w:pPr>
      <w:r>
        <w:rPr>
          <w:lang w:val="de-CH"/>
        </w:rPr>
        <w:t>D</w:t>
      </w:r>
      <w:r w:rsidR="0095047F">
        <w:rPr>
          <w:lang w:val="de-CH"/>
        </w:rPr>
        <w:t>i</w:t>
      </w:r>
      <w:r w:rsidRPr="009676EF">
        <w:rPr>
          <w:lang w:val="de-CH"/>
        </w:rPr>
        <w:t xml:space="preserve">e Uni </w:t>
      </w:r>
      <w:r w:rsidR="0095047F">
        <w:rPr>
          <w:lang w:val="de-CH"/>
        </w:rPr>
        <w:t xml:space="preserve">will </w:t>
      </w:r>
      <w:r w:rsidRPr="009676EF">
        <w:rPr>
          <w:lang w:val="de-CH"/>
        </w:rPr>
        <w:t xml:space="preserve">kein Geld </w:t>
      </w:r>
      <w:r>
        <w:rPr>
          <w:lang w:val="de-CH"/>
        </w:rPr>
        <w:t>bereitstellen</w:t>
      </w:r>
      <w:r w:rsidRPr="009676EF">
        <w:rPr>
          <w:lang w:val="de-CH"/>
        </w:rPr>
        <w:t>, um freiwerdende Professoren</w:t>
      </w:r>
      <w:r w:rsidR="00707E4A">
        <w:rPr>
          <w:lang w:val="de-CH"/>
        </w:rPr>
        <w:t>/-innen</w:t>
      </w:r>
      <w:r w:rsidRPr="009676EF">
        <w:rPr>
          <w:lang w:val="de-CH"/>
        </w:rPr>
        <w:t>stellen, die bisher von Staatsbeamten besetzt waren, aus</w:t>
      </w:r>
      <w:r w:rsidR="0095047F">
        <w:rPr>
          <w:lang w:val="de-CH"/>
        </w:rPr>
        <w:t xml:space="preserve"> eigenen Mitteln zu finanzieren.</w:t>
      </w:r>
      <w:r w:rsidRPr="009676EF">
        <w:rPr>
          <w:lang w:val="de-CH"/>
        </w:rPr>
        <w:t xml:space="preserve"> </w:t>
      </w:r>
      <w:r w:rsidR="0095047F">
        <w:rPr>
          <w:lang w:val="de-CH"/>
        </w:rPr>
        <w:t xml:space="preserve">Uns </w:t>
      </w:r>
      <w:r>
        <w:rPr>
          <w:lang w:val="de-CH"/>
        </w:rPr>
        <w:t xml:space="preserve">bleibt </w:t>
      </w:r>
      <w:r w:rsidR="0095047F">
        <w:rPr>
          <w:lang w:val="de-CH"/>
        </w:rPr>
        <w:t xml:space="preserve">daher </w:t>
      </w:r>
      <w:r>
        <w:rPr>
          <w:lang w:val="de-CH"/>
        </w:rPr>
        <w:t xml:space="preserve">nur </w:t>
      </w:r>
      <w:r>
        <w:rPr>
          <w:lang w:val="de-CH"/>
        </w:rPr>
        <w:lastRenderedPageBreak/>
        <w:t xml:space="preserve">der Appell an den </w:t>
      </w:r>
      <w:r w:rsidRPr="009676EF">
        <w:rPr>
          <w:lang w:val="de-CH"/>
        </w:rPr>
        <w:t>Staat</w:t>
      </w:r>
      <w:r>
        <w:rPr>
          <w:lang w:val="de-CH"/>
        </w:rPr>
        <w:t>,</w:t>
      </w:r>
      <w:r w:rsidRPr="009676EF">
        <w:rPr>
          <w:lang w:val="de-CH"/>
        </w:rPr>
        <w:t xml:space="preserve"> Luxemburger Geschichte an der Universität Luxemburg </w:t>
      </w:r>
      <w:r>
        <w:rPr>
          <w:lang w:val="de-CH"/>
        </w:rPr>
        <w:t xml:space="preserve">als </w:t>
      </w:r>
      <w:r w:rsidRPr="009676EF">
        <w:rPr>
          <w:lang w:val="de-CH"/>
        </w:rPr>
        <w:t xml:space="preserve">unverzichtbar </w:t>
      </w:r>
      <w:r>
        <w:rPr>
          <w:lang w:val="de-CH"/>
        </w:rPr>
        <w:t xml:space="preserve">zu erklären </w:t>
      </w:r>
      <w:r w:rsidRPr="009676EF">
        <w:rPr>
          <w:lang w:val="de-CH"/>
        </w:rPr>
        <w:t xml:space="preserve">und ein entsprechendes Budget zur Verfügung </w:t>
      </w:r>
      <w:r>
        <w:rPr>
          <w:lang w:val="de-CH"/>
        </w:rPr>
        <w:t>zu stellen</w:t>
      </w:r>
      <w:r w:rsidRPr="009676EF">
        <w:rPr>
          <w:lang w:val="de-CH"/>
        </w:rPr>
        <w:t>.</w:t>
      </w:r>
      <w:r>
        <w:rPr>
          <w:lang w:val="de-CH"/>
        </w:rPr>
        <w:t xml:space="preserve"> </w:t>
      </w:r>
    </w:p>
    <w:p w14:paraId="74EDBD7D" w14:textId="18B340C8" w:rsidR="002A2590" w:rsidRDefault="0095047F" w:rsidP="00AD4128">
      <w:pPr>
        <w:spacing w:line="276" w:lineRule="auto"/>
        <w:jc w:val="both"/>
        <w:rPr>
          <w:lang w:val="de-CH"/>
        </w:rPr>
      </w:pPr>
      <w:r>
        <w:rPr>
          <w:lang w:val="de-CH"/>
        </w:rPr>
        <w:t xml:space="preserve">Wir wenden </w:t>
      </w:r>
      <w:r w:rsidR="00EA397A">
        <w:rPr>
          <w:lang w:val="de-CH"/>
        </w:rPr>
        <w:t>uns heute an die Luxemburger Gesellschaft</w:t>
      </w:r>
      <w:r w:rsidR="00AD4128">
        <w:rPr>
          <w:lang w:val="de-CH"/>
        </w:rPr>
        <w:t xml:space="preserve"> in ihrer Vielfalt</w:t>
      </w:r>
      <w:r w:rsidR="00EA397A">
        <w:rPr>
          <w:lang w:val="de-CH"/>
        </w:rPr>
        <w:t>, denn die Frage betrifft an erster Stelle sie</w:t>
      </w:r>
      <w:r w:rsidR="007B6856">
        <w:rPr>
          <w:lang w:val="de-CH"/>
        </w:rPr>
        <w:t xml:space="preserve">: Hat </w:t>
      </w:r>
      <w:r w:rsidR="00073D0C">
        <w:rPr>
          <w:lang w:val="de-CH"/>
        </w:rPr>
        <w:t>sie</w:t>
      </w:r>
      <w:r w:rsidR="00AD4128">
        <w:rPr>
          <w:lang w:val="de-CH"/>
        </w:rPr>
        <w:t xml:space="preserve"> nicht einen Anspruch</w:t>
      </w:r>
      <w:r w:rsidR="007B6856">
        <w:rPr>
          <w:lang w:val="de-CH"/>
        </w:rPr>
        <w:t xml:space="preserve"> darauf, dass ihre Geschichte in ihrer ganzen Breite und Tiefe </w:t>
      </w:r>
      <w:r w:rsidR="00EA397A">
        <w:rPr>
          <w:lang w:val="de-CH"/>
        </w:rPr>
        <w:t xml:space="preserve">weiter </w:t>
      </w:r>
      <w:r w:rsidR="008349AE">
        <w:rPr>
          <w:lang w:val="de-CH"/>
        </w:rPr>
        <w:t xml:space="preserve">erforscht und gelehrt </w:t>
      </w:r>
      <w:r w:rsidR="007B6856">
        <w:rPr>
          <w:lang w:val="de-CH"/>
        </w:rPr>
        <w:t xml:space="preserve">wird? </w:t>
      </w:r>
      <w:r w:rsidR="00FC11C9">
        <w:rPr>
          <w:lang w:val="de-CH"/>
        </w:rPr>
        <w:t xml:space="preserve">Und zwar in einer metanationalen Perspektive, </w:t>
      </w:r>
      <w:r>
        <w:rPr>
          <w:lang w:val="de-CH"/>
        </w:rPr>
        <w:t>also</w:t>
      </w:r>
      <w:r w:rsidR="00FC11C9">
        <w:rPr>
          <w:lang w:val="de-CH"/>
        </w:rPr>
        <w:t xml:space="preserve"> auch für Epochen, als es noch keine Luxemburger Nation gab und der historische Raum über die heutigen Landesgrenzen hinausreichte. </w:t>
      </w:r>
      <w:r w:rsidR="00EA397A">
        <w:rPr>
          <w:lang w:val="de-CH"/>
        </w:rPr>
        <w:t xml:space="preserve">Gehört Geschichte </w:t>
      </w:r>
      <w:r w:rsidR="00B55987">
        <w:rPr>
          <w:lang w:val="de-CH"/>
        </w:rPr>
        <w:t xml:space="preserve">in ihrer ganzen Breite </w:t>
      </w:r>
      <w:r>
        <w:rPr>
          <w:lang w:val="de-CH"/>
        </w:rPr>
        <w:t>nicht genau</w:t>
      </w:r>
      <w:r w:rsidR="00EA397A">
        <w:rPr>
          <w:lang w:val="de-CH"/>
        </w:rPr>
        <w:t xml:space="preserve"> </w:t>
      </w:r>
      <w:r w:rsidR="00BC2EAA">
        <w:rPr>
          <w:lang w:val="de-CH"/>
        </w:rPr>
        <w:t xml:space="preserve">wie Sprache oder Literatur </w:t>
      </w:r>
      <w:r w:rsidR="00EA397A">
        <w:rPr>
          <w:lang w:val="de-CH"/>
        </w:rPr>
        <w:t xml:space="preserve">zur </w:t>
      </w:r>
      <w:r w:rsidR="00B55987">
        <w:rPr>
          <w:lang w:val="de-CH"/>
        </w:rPr>
        <w:t>aktuell</w:t>
      </w:r>
      <w:r w:rsidR="00BC2EAA">
        <w:rPr>
          <w:lang w:val="de-CH"/>
        </w:rPr>
        <w:t>en</w:t>
      </w:r>
      <w:r w:rsidR="00B55987">
        <w:rPr>
          <w:lang w:val="de-CH"/>
        </w:rPr>
        <w:t xml:space="preserve"> Reflexion über eine wie auch immer definierte «</w:t>
      </w:r>
      <w:r w:rsidR="00EA397A">
        <w:rPr>
          <w:lang w:val="de-CH"/>
        </w:rPr>
        <w:t>nationale Identität</w:t>
      </w:r>
      <w:r w:rsidR="00B55987">
        <w:rPr>
          <w:lang w:val="de-CH"/>
        </w:rPr>
        <w:t>»</w:t>
      </w:r>
      <w:r w:rsidR="00EA397A">
        <w:rPr>
          <w:lang w:val="de-CH"/>
        </w:rPr>
        <w:t>?</w:t>
      </w:r>
      <w:r w:rsidR="00AD4128">
        <w:rPr>
          <w:lang w:val="de-CH"/>
        </w:rPr>
        <w:t xml:space="preserve"> </w:t>
      </w:r>
      <w:r w:rsidR="00FD669F">
        <w:rPr>
          <w:lang w:val="de-CH"/>
        </w:rPr>
        <w:t>Die</w:t>
      </w:r>
      <w:r w:rsidR="00EE5A10">
        <w:rPr>
          <w:lang w:val="de-CH"/>
        </w:rPr>
        <w:t xml:space="preserve"> </w:t>
      </w:r>
      <w:r w:rsidR="00FD669F">
        <w:rPr>
          <w:lang w:val="de-CH"/>
        </w:rPr>
        <w:t>Entscheidung, die historische Forschung und Lehre auf Zeit</w:t>
      </w:r>
      <w:r w:rsidR="00AD4128">
        <w:rPr>
          <w:lang w:val="de-CH"/>
        </w:rPr>
        <w:t>ge</w:t>
      </w:r>
      <w:r w:rsidR="00FD669F">
        <w:rPr>
          <w:lang w:val="de-CH"/>
        </w:rPr>
        <w:t xml:space="preserve">schichte zu beschränken, </w:t>
      </w:r>
      <w:r w:rsidR="00EE5A10">
        <w:rPr>
          <w:lang w:val="de-CH"/>
        </w:rPr>
        <w:t>muss nach unserer Überzeugung in der Ö</w:t>
      </w:r>
      <w:r>
        <w:rPr>
          <w:lang w:val="de-CH"/>
        </w:rPr>
        <w:t>ffentlichkeit diskutiert werden.</w:t>
      </w:r>
      <w:r w:rsidR="00EE5A10">
        <w:rPr>
          <w:lang w:val="de-CH"/>
        </w:rPr>
        <w:t xml:space="preserve"> </w:t>
      </w:r>
      <w:r>
        <w:rPr>
          <w:lang w:val="de-CH"/>
        </w:rPr>
        <w:t xml:space="preserve">Sie </w:t>
      </w:r>
      <w:r w:rsidR="00EE5A10">
        <w:rPr>
          <w:lang w:val="de-CH"/>
        </w:rPr>
        <w:t xml:space="preserve">betrifft eine der wichtigsten Grundlagen der Gesellschaft. Dies ist gerade für die jüngeren Generationen wichtig, denn ihnen wird </w:t>
      </w:r>
      <w:r w:rsidR="00AD4128">
        <w:rPr>
          <w:lang w:val="de-CH"/>
        </w:rPr>
        <w:t xml:space="preserve">sehr bald die Möglichkeit zum Erwerb </w:t>
      </w:r>
      <w:r w:rsidR="00EE5A10">
        <w:rPr>
          <w:lang w:val="de-CH"/>
        </w:rPr>
        <w:t>fundierte</w:t>
      </w:r>
      <w:r w:rsidR="00974602">
        <w:rPr>
          <w:lang w:val="de-CH"/>
        </w:rPr>
        <w:t>r</w:t>
      </w:r>
      <w:r w:rsidR="00EE5A10">
        <w:rPr>
          <w:lang w:val="de-CH"/>
        </w:rPr>
        <w:t xml:space="preserve"> Kenntnis</w:t>
      </w:r>
      <w:r w:rsidR="00974602">
        <w:rPr>
          <w:lang w:val="de-CH"/>
        </w:rPr>
        <w:t>se</w:t>
      </w:r>
      <w:r w:rsidR="00EE5A10">
        <w:rPr>
          <w:lang w:val="de-CH"/>
        </w:rPr>
        <w:t xml:space="preserve"> </w:t>
      </w:r>
      <w:r w:rsidR="00AD4128">
        <w:rPr>
          <w:lang w:val="de-CH"/>
        </w:rPr>
        <w:t xml:space="preserve">der Geschichte </w:t>
      </w:r>
      <w:r w:rsidR="00EE5A10">
        <w:rPr>
          <w:lang w:val="de-CH"/>
        </w:rPr>
        <w:t>genommen.</w:t>
      </w:r>
    </w:p>
    <w:p w14:paraId="028B622E" w14:textId="5476BE36" w:rsidR="00D90307" w:rsidRPr="006C6A60" w:rsidRDefault="00065114" w:rsidP="00AD4128">
      <w:pPr>
        <w:spacing w:line="276" w:lineRule="auto"/>
        <w:jc w:val="right"/>
        <w:rPr>
          <w:lang w:val="de-CH"/>
        </w:rPr>
      </w:pPr>
      <w:r>
        <w:rPr>
          <w:lang w:val="de-CH"/>
        </w:rPr>
        <w:t xml:space="preserve">Die </w:t>
      </w:r>
      <w:r w:rsidR="00D90307" w:rsidRPr="006C6A60">
        <w:rPr>
          <w:lang w:val="de-CH"/>
        </w:rPr>
        <w:t>Mitglieder des Historischen Instituts</w:t>
      </w:r>
      <w:r>
        <w:rPr>
          <w:lang w:val="de-CH"/>
        </w:rPr>
        <w:t xml:space="preserve"> an der Universität Luxemburg</w:t>
      </w:r>
      <w:r w:rsidR="00D90307" w:rsidRPr="006C6A60">
        <w:rPr>
          <w:lang w:val="de-CH"/>
        </w:rPr>
        <w:br/>
      </w:r>
    </w:p>
    <w:sectPr w:rsidR="00D90307" w:rsidRPr="006C6A60" w:rsidSect="004F55B8">
      <w:pgSz w:w="11900" w:h="16840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3AD7B" w14:textId="77777777" w:rsidR="00F572CC" w:rsidRDefault="00F572CC" w:rsidP="00087018">
      <w:pPr>
        <w:spacing w:after="0"/>
      </w:pPr>
      <w:r>
        <w:separator/>
      </w:r>
    </w:p>
  </w:endnote>
  <w:endnote w:type="continuationSeparator" w:id="0">
    <w:p w14:paraId="357D268C" w14:textId="77777777" w:rsidR="00F572CC" w:rsidRDefault="00F572CC" w:rsidP="000870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D0234" w14:textId="77777777" w:rsidR="00F572CC" w:rsidRDefault="00F572CC" w:rsidP="00087018">
      <w:pPr>
        <w:spacing w:after="0"/>
      </w:pPr>
      <w:r>
        <w:separator/>
      </w:r>
    </w:p>
  </w:footnote>
  <w:footnote w:type="continuationSeparator" w:id="0">
    <w:p w14:paraId="67651E9A" w14:textId="77777777" w:rsidR="00F572CC" w:rsidRDefault="00F572CC" w:rsidP="00087018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isabeth BOESEN">
    <w15:presenceInfo w15:providerId="AD" w15:userId="S-1-5-21-3337309816-2907398862-663535011-172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DB"/>
    <w:rsid w:val="000237EB"/>
    <w:rsid w:val="000477BD"/>
    <w:rsid w:val="00065114"/>
    <w:rsid w:val="000653F5"/>
    <w:rsid w:val="00073D0C"/>
    <w:rsid w:val="00087018"/>
    <w:rsid w:val="00094813"/>
    <w:rsid w:val="000A3BC3"/>
    <w:rsid w:val="000A793F"/>
    <w:rsid w:val="000F07AA"/>
    <w:rsid w:val="0012126B"/>
    <w:rsid w:val="00122AB6"/>
    <w:rsid w:val="0013419F"/>
    <w:rsid w:val="001348BD"/>
    <w:rsid w:val="00136863"/>
    <w:rsid w:val="00162B8B"/>
    <w:rsid w:val="001922E5"/>
    <w:rsid w:val="001D19DB"/>
    <w:rsid w:val="001F5D77"/>
    <w:rsid w:val="00223FC8"/>
    <w:rsid w:val="00224DC5"/>
    <w:rsid w:val="00243D16"/>
    <w:rsid w:val="0027466D"/>
    <w:rsid w:val="00280A01"/>
    <w:rsid w:val="002862DD"/>
    <w:rsid w:val="002974EC"/>
    <w:rsid w:val="002A2590"/>
    <w:rsid w:val="002E149C"/>
    <w:rsid w:val="002E7A01"/>
    <w:rsid w:val="00305B20"/>
    <w:rsid w:val="00325059"/>
    <w:rsid w:val="00373B29"/>
    <w:rsid w:val="003E6875"/>
    <w:rsid w:val="003F5745"/>
    <w:rsid w:val="0042472A"/>
    <w:rsid w:val="004423B7"/>
    <w:rsid w:val="00474ADD"/>
    <w:rsid w:val="004777C1"/>
    <w:rsid w:val="004A1FFF"/>
    <w:rsid w:val="004A6709"/>
    <w:rsid w:val="004B3B05"/>
    <w:rsid w:val="004C7AE2"/>
    <w:rsid w:val="004D5E04"/>
    <w:rsid w:val="004F55B8"/>
    <w:rsid w:val="00593254"/>
    <w:rsid w:val="005C31FF"/>
    <w:rsid w:val="005C54B4"/>
    <w:rsid w:val="00607D5F"/>
    <w:rsid w:val="0065428E"/>
    <w:rsid w:val="0068074B"/>
    <w:rsid w:val="006C3F12"/>
    <w:rsid w:val="006C6A60"/>
    <w:rsid w:val="006C799B"/>
    <w:rsid w:val="006D69F5"/>
    <w:rsid w:val="006F25A4"/>
    <w:rsid w:val="00707E4A"/>
    <w:rsid w:val="00717C79"/>
    <w:rsid w:val="0074108B"/>
    <w:rsid w:val="00796665"/>
    <w:rsid w:val="007B6856"/>
    <w:rsid w:val="007C000D"/>
    <w:rsid w:val="007C7B4A"/>
    <w:rsid w:val="00811664"/>
    <w:rsid w:val="00816488"/>
    <w:rsid w:val="008349AE"/>
    <w:rsid w:val="008728D9"/>
    <w:rsid w:val="00892AE1"/>
    <w:rsid w:val="00897DB8"/>
    <w:rsid w:val="008B2739"/>
    <w:rsid w:val="008B57EF"/>
    <w:rsid w:val="008C7C0B"/>
    <w:rsid w:val="008F7EDD"/>
    <w:rsid w:val="00915D0D"/>
    <w:rsid w:val="0095047F"/>
    <w:rsid w:val="009676EF"/>
    <w:rsid w:val="00974602"/>
    <w:rsid w:val="009B7B48"/>
    <w:rsid w:val="009D0FAF"/>
    <w:rsid w:val="009E0872"/>
    <w:rsid w:val="009F48CA"/>
    <w:rsid w:val="00A34EA2"/>
    <w:rsid w:val="00A6507D"/>
    <w:rsid w:val="00A75E21"/>
    <w:rsid w:val="00A86D60"/>
    <w:rsid w:val="00AB0A21"/>
    <w:rsid w:val="00AC3661"/>
    <w:rsid w:val="00AC4EE8"/>
    <w:rsid w:val="00AD4128"/>
    <w:rsid w:val="00AE64A5"/>
    <w:rsid w:val="00B43303"/>
    <w:rsid w:val="00B518D4"/>
    <w:rsid w:val="00B5401A"/>
    <w:rsid w:val="00B55987"/>
    <w:rsid w:val="00B667B8"/>
    <w:rsid w:val="00B840B1"/>
    <w:rsid w:val="00BC2EAA"/>
    <w:rsid w:val="00BE76BA"/>
    <w:rsid w:val="00BF62DB"/>
    <w:rsid w:val="00C544DA"/>
    <w:rsid w:val="00C907BB"/>
    <w:rsid w:val="00C912DE"/>
    <w:rsid w:val="00CF0EEE"/>
    <w:rsid w:val="00CF3D3B"/>
    <w:rsid w:val="00D43FAB"/>
    <w:rsid w:val="00D61CA2"/>
    <w:rsid w:val="00D8704C"/>
    <w:rsid w:val="00D90307"/>
    <w:rsid w:val="00DB03AE"/>
    <w:rsid w:val="00DC3C02"/>
    <w:rsid w:val="00DE2E54"/>
    <w:rsid w:val="00E122E7"/>
    <w:rsid w:val="00E52451"/>
    <w:rsid w:val="00EA397A"/>
    <w:rsid w:val="00EB1255"/>
    <w:rsid w:val="00EB4A7D"/>
    <w:rsid w:val="00ED455D"/>
    <w:rsid w:val="00EE2E37"/>
    <w:rsid w:val="00EE37F3"/>
    <w:rsid w:val="00EE5A10"/>
    <w:rsid w:val="00F153BB"/>
    <w:rsid w:val="00F53516"/>
    <w:rsid w:val="00F572CC"/>
    <w:rsid w:val="00FA4E97"/>
    <w:rsid w:val="00FC0C3B"/>
    <w:rsid w:val="00FC11C9"/>
    <w:rsid w:val="00FD0EA9"/>
    <w:rsid w:val="00FD669F"/>
    <w:rsid w:val="00FE3EB4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8E0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61"/>
    <w:rPr>
      <w:rFonts w:ascii="Times New Roman" w:hAnsi="Times New Roman" w:cs="Times New Roman"/>
      <w:sz w:val="24"/>
      <w:szCs w:val="24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4EC"/>
    <w:pPr>
      <w:keepNext/>
      <w:keepLines/>
      <w:spacing w:before="12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74EC"/>
    <w:rPr>
      <w:rFonts w:ascii="Times New Roman" w:eastAsiaTheme="majorEastAsia" w:hAnsi="Times New Roman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D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3B"/>
    <w:rPr>
      <w:rFonts w:ascii="Segoe UI" w:hAnsi="Segoe UI" w:cs="Segoe UI"/>
      <w:sz w:val="18"/>
      <w:szCs w:val="18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892A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A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AE1"/>
    <w:rPr>
      <w:rFonts w:ascii="Times New Roman" w:hAnsi="Times New Roman" w:cs="Times New Roman"/>
      <w:sz w:val="24"/>
      <w:szCs w:val="24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A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AE1"/>
    <w:rPr>
      <w:rFonts w:ascii="Times New Roman" w:hAnsi="Times New Roman" w:cs="Times New Roman"/>
      <w:b/>
      <w:bCs/>
      <w:sz w:val="20"/>
      <w:szCs w:val="20"/>
      <w:lang w:val="de-DE" w:eastAsia="de-DE"/>
    </w:rPr>
  </w:style>
  <w:style w:type="paragraph" w:styleId="Revision">
    <w:name w:val="Revision"/>
    <w:hidden/>
    <w:uiPriority w:val="99"/>
    <w:semiHidden/>
    <w:rsid w:val="00ED455D"/>
    <w:pPr>
      <w:spacing w:after="0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701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018"/>
    <w:rPr>
      <w:rFonts w:ascii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08701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61"/>
    <w:rPr>
      <w:rFonts w:ascii="Times New Roman" w:hAnsi="Times New Roman" w:cs="Times New Roman"/>
      <w:sz w:val="24"/>
      <w:szCs w:val="24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4EC"/>
    <w:pPr>
      <w:keepNext/>
      <w:keepLines/>
      <w:spacing w:before="12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74EC"/>
    <w:rPr>
      <w:rFonts w:ascii="Times New Roman" w:eastAsiaTheme="majorEastAsia" w:hAnsi="Times New Roman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D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3B"/>
    <w:rPr>
      <w:rFonts w:ascii="Segoe UI" w:hAnsi="Segoe UI" w:cs="Segoe UI"/>
      <w:sz w:val="18"/>
      <w:szCs w:val="18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892A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A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AE1"/>
    <w:rPr>
      <w:rFonts w:ascii="Times New Roman" w:hAnsi="Times New Roman" w:cs="Times New Roman"/>
      <w:sz w:val="24"/>
      <w:szCs w:val="24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A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AE1"/>
    <w:rPr>
      <w:rFonts w:ascii="Times New Roman" w:hAnsi="Times New Roman" w:cs="Times New Roman"/>
      <w:b/>
      <w:bCs/>
      <w:sz w:val="20"/>
      <w:szCs w:val="20"/>
      <w:lang w:val="de-DE" w:eastAsia="de-DE"/>
    </w:rPr>
  </w:style>
  <w:style w:type="paragraph" w:styleId="Revision">
    <w:name w:val="Revision"/>
    <w:hidden/>
    <w:uiPriority w:val="99"/>
    <w:semiHidden/>
    <w:rsid w:val="00ED455D"/>
    <w:pPr>
      <w:spacing w:after="0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701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018"/>
    <w:rPr>
      <w:rFonts w:ascii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0870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78D3-BAA5-2D42-9296-678B4A4F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1254</Words>
  <Characters>7148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PAULY</dc:creator>
  <cp:lastModifiedBy>Andrea.Binsfeld</cp:lastModifiedBy>
  <cp:revision>6</cp:revision>
  <cp:lastPrinted>2017-04-06T10:47:00Z</cp:lastPrinted>
  <dcterms:created xsi:type="dcterms:W3CDTF">2017-04-06T10:47:00Z</dcterms:created>
  <dcterms:modified xsi:type="dcterms:W3CDTF">2017-04-10T11:25:00Z</dcterms:modified>
</cp:coreProperties>
</file>